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omylnie"/>
        <w:spacing w:lineRule="atLeast" w:line="360"/>
        <w:jc w:val="center"/>
      </w:pPr>
      <w:bookmarkStart w:id="0" w:name="__UnoMark__5244_957046132"/>
      <w:bookmarkEnd w:id="0"/>
      <w:r>
        <w:rPr>
          <w:rFonts w:eastAsia="Arial" w:cs="Arial" w:ascii="Calibri" w:hAnsi="Calibri"/>
          <w:b/>
          <w:bCs/>
          <w:sz w:val="20"/>
          <w:szCs w:val="20"/>
        </w:rPr>
        <w:t>Załącznik nr 2</w:t>
      </w:r>
      <w:bookmarkStart w:id="1" w:name="_GoBack"/>
      <w:bookmarkEnd w:id="1"/>
      <w:r>
        <w:rPr>
          <w:rFonts w:eastAsia="Arial" w:cs="Arial" w:ascii="Calibri" w:hAnsi="Calibri"/>
          <w:b/>
          <w:bCs/>
          <w:sz w:val="20"/>
          <w:szCs w:val="20"/>
        </w:rPr>
        <w:t xml:space="preserve"> do ogłoszenia o przetargu nr </w:t>
      </w:r>
      <w:r>
        <w:rPr>
          <w:rFonts w:eastAsia="Arial" w:cs="Arial" w:ascii="Calibri" w:hAnsi="Calibri"/>
          <w:b/>
          <w:bCs/>
          <w:sz w:val="20"/>
          <w:szCs w:val="20"/>
        </w:rPr>
        <w:t>9</w:t>
      </w:r>
      <w:r>
        <w:rPr>
          <w:rFonts w:eastAsia="Arial" w:cs="Arial" w:ascii="Calibri" w:hAnsi="Calibri"/>
          <w:b/>
          <w:bCs/>
          <w:sz w:val="20"/>
          <w:szCs w:val="20"/>
        </w:rPr>
        <w:t>/L/15</w:t>
      </w:r>
      <w:r/>
    </w:p>
    <w:p>
      <w:pPr>
        <w:pStyle w:val="Domylnie"/>
        <w:spacing w:lineRule="atLeast" w:line="360"/>
        <w:jc w:val="both"/>
        <w:rPr>
          <w:sz w:val="24"/>
          <w:sz w:val="24"/>
          <w:szCs w:val="24"/>
          <w:rFonts w:ascii="Times New Roman" w:hAnsi="Times New Roman" w:eastAsia="Lucida Sans Unicode" w:cs="Mangal"/>
          <w:color w:val="00000A"/>
          <w:lang w:val="pl-PL" w:eastAsia="hi-IN" w:bidi="hi-IN"/>
        </w:rPr>
      </w:pPr>
      <w:r>
        <w:rPr>
          <w:rFonts w:eastAsia="Lucida Sans Unicode" w:cs="Mangal"/>
          <w:color w:val="00000A"/>
          <w:sz w:val="24"/>
          <w:szCs w:val="24"/>
          <w:lang w:val="pl-PL" w:eastAsia="hi-IN" w:bidi="hi-IN"/>
        </w:rPr>
      </w:r>
      <w:r/>
    </w:p>
    <w:p>
      <w:pPr>
        <w:pStyle w:val="Domylnie"/>
        <w:spacing w:lineRule="atLeast" w:line="360"/>
        <w:jc w:val="both"/>
      </w:pPr>
      <w:r>
        <w:rPr>
          <w:rFonts w:eastAsia="Arial" w:cs="Arial" w:ascii="Calibri" w:hAnsi="Calibri"/>
          <w:b/>
          <w:bCs/>
          <w:sz w:val="20"/>
          <w:szCs w:val="20"/>
        </w:rPr>
        <w:t>Dodatkowe warunki przetargu ograniczonego pisemnego na sprzedaż zabudowanej nieruchomości położonej</w:t>
        <w:br/>
        <w:t xml:space="preserve">w Wałbrzychu, przy ul. </w:t>
      </w:r>
      <w:r>
        <w:rPr>
          <w:rFonts w:eastAsia="Arial" w:cs="Arial" w:ascii="Calibri" w:hAnsi="Calibri"/>
          <w:b/>
          <w:bCs/>
          <w:sz w:val="20"/>
          <w:szCs w:val="20"/>
        </w:rPr>
        <w:t>Słowackiego 23A</w:t>
      </w:r>
      <w:r>
        <w:rPr>
          <w:rFonts w:eastAsia="Arial" w:cs="Arial" w:ascii="Calibri" w:hAnsi="Calibri"/>
          <w:b/>
          <w:bCs/>
          <w:sz w:val="20"/>
          <w:szCs w:val="20"/>
        </w:rPr>
        <w:t xml:space="preserve"> na rzecz podmiotów prowadzących działalność w zakresie leasingu</w:t>
      </w:r>
      <w:r/>
    </w:p>
    <w:p>
      <w:pPr>
        <w:pStyle w:val="Domylnie"/>
        <w:numPr>
          <w:ilvl w:val="0"/>
          <w:numId w:val="3"/>
        </w:numPr>
        <w:spacing w:lineRule="atLeast" w:line="360"/>
        <w:ind w:left="0" w:right="0" w:hanging="720"/>
        <w:jc w:val="both"/>
      </w:pPr>
      <w:r>
        <w:rPr>
          <w:rFonts w:eastAsia="Arial" w:cs="Arial" w:ascii="Calibri" w:hAnsi="Calibri"/>
          <w:b/>
          <w:bCs/>
          <w:sz w:val="20"/>
          <w:szCs w:val="20"/>
        </w:rPr>
        <w:t>Definicje</w:t>
      </w:r>
      <w:r/>
    </w:p>
    <w:p>
      <w:pPr>
        <w:pStyle w:val="Domylnie"/>
        <w:spacing w:lineRule="atLeast" w:line="360"/>
        <w:jc w:val="both"/>
      </w:pPr>
      <w:r>
        <w:rPr>
          <w:rFonts w:eastAsia="Arial" w:cs="Arial" w:ascii="Calibri" w:hAnsi="Calibri"/>
          <w:sz w:val="20"/>
          <w:szCs w:val="20"/>
        </w:rPr>
        <w:t>Ilekroć w niniejszych dodatkowych warunkach używane są wyrażenia pisane wielką literą bez ich dalszego definiowania mają one takie samo znaczenie jakie im przypisano w Ogłoszeniu o przetargu, do którego niniejsze dodatkowe warunki stanowią załącznik.</w:t>
      </w:r>
      <w:r/>
    </w:p>
    <w:p>
      <w:pPr>
        <w:pStyle w:val="Domylnie"/>
        <w:spacing w:lineRule="atLeast" w:line="360"/>
        <w:jc w:val="both"/>
        <w:rPr>
          <w:sz w:val="24"/>
          <w:sz w:val="24"/>
          <w:szCs w:val="24"/>
          <w:rFonts w:ascii="Times New Roman" w:hAnsi="Times New Roman" w:eastAsia="Lucida Sans Unicode" w:cs="Mangal"/>
          <w:color w:val="00000A"/>
          <w:lang w:val="pl-PL" w:eastAsia="hi-IN" w:bidi="hi-IN"/>
        </w:rPr>
      </w:pPr>
      <w:r>
        <w:rPr>
          <w:rFonts w:eastAsia="Lucida Sans Unicode" w:cs="Mangal"/>
          <w:color w:val="00000A"/>
          <w:sz w:val="24"/>
          <w:szCs w:val="24"/>
          <w:lang w:val="pl-PL" w:eastAsia="hi-IN" w:bidi="hi-IN"/>
        </w:rPr>
      </w:r>
      <w:r/>
    </w:p>
    <w:p>
      <w:pPr>
        <w:pStyle w:val="Domylnie"/>
        <w:numPr>
          <w:ilvl w:val="0"/>
          <w:numId w:val="3"/>
        </w:numPr>
        <w:spacing w:lineRule="atLeast" w:line="360"/>
        <w:ind w:left="0" w:right="0" w:hanging="720"/>
        <w:jc w:val="both"/>
      </w:pPr>
      <w:r>
        <w:rPr>
          <w:rFonts w:eastAsia="Arial" w:cs="Arial" w:ascii="Calibri" w:hAnsi="Calibri"/>
          <w:b/>
          <w:bCs/>
          <w:sz w:val="20"/>
          <w:szCs w:val="20"/>
        </w:rPr>
        <w:t>Przedmiotowo istotne elementy umowy leasingu operacyjnego i dzierżawy</w:t>
      </w:r>
      <w:r/>
    </w:p>
    <w:p>
      <w:pPr>
        <w:pStyle w:val="Domylnie"/>
        <w:numPr>
          <w:ilvl w:val="1"/>
          <w:numId w:val="4"/>
        </w:numPr>
        <w:spacing w:lineRule="atLeast" w:line="360"/>
        <w:ind w:left="709" w:right="0" w:hanging="709"/>
        <w:jc w:val="both"/>
      </w:pPr>
      <w:r>
        <w:rPr>
          <w:rFonts w:eastAsia="Arial" w:cs="Arial" w:ascii="Calibri" w:hAnsi="Calibri"/>
          <w:sz w:val="20"/>
          <w:szCs w:val="20"/>
        </w:rPr>
        <w:t>Do oferty nabycia Przedmiotu Przetargu zostaną załączone przez Oferenta wzory umów leasingu operacyjnego i dzierżawy, w których Oferent zobowiąże się w odniesieniu do:</w:t>
      </w:r>
      <w:r/>
    </w:p>
    <w:p>
      <w:pPr>
        <w:pStyle w:val="Domylnie"/>
        <w:spacing w:lineRule="atLeast" w:line="360"/>
        <w:jc w:val="both"/>
      </w:pPr>
      <w:r>
        <w:rPr>
          <w:rFonts w:eastAsia="Arial" w:cs="Arial" w:ascii="Calibri" w:hAnsi="Calibri"/>
          <w:b/>
          <w:bCs/>
          <w:sz w:val="20"/>
          <w:szCs w:val="20"/>
        </w:rPr>
        <w:t>a)</w:t>
      </w:r>
      <w:r>
        <w:rPr>
          <w:rFonts w:eastAsia="Arial" w:cs="Arial" w:ascii="Calibri" w:hAnsi="Calibri"/>
          <w:sz w:val="20"/>
          <w:szCs w:val="20"/>
        </w:rPr>
        <w:t xml:space="preserve"> </w:t>
      </w:r>
      <w:r>
        <w:rPr>
          <w:rFonts w:eastAsia="Arial" w:cs="Arial" w:ascii="Calibri" w:hAnsi="Calibri"/>
          <w:b/>
          <w:bCs/>
          <w:sz w:val="20"/>
          <w:szCs w:val="20"/>
        </w:rPr>
        <w:t>leasingu operacyjnego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określenia wszystkich płatności z tytułu Umowy Leasingu Operacyjnego w całym okresie obowiązywania umowy, obejmujących: raty leasingowe (kwota główna plus </w:t>
        <w:tab/>
        <w:t xml:space="preserve">odsetki) i cenę odkupu Przedmiotu Leasingu Operacyjnego bez wymogu płatności przez </w:t>
      </w:r>
      <w:r>
        <w:rPr>
          <w:rFonts w:eastAsia="Arial" w:cs="Arial" w:ascii="Calibri" w:hAnsi="Calibri"/>
          <w:sz w:val="20"/>
          <w:szCs w:val="20"/>
        </w:rPr>
        <w:t>miasto Wałbrzych</w:t>
      </w:r>
      <w:r>
        <w:rPr>
          <w:rFonts w:eastAsia="Arial" w:cs="Arial" w:ascii="Calibri" w:hAnsi="Calibri"/>
          <w:sz w:val="20"/>
          <w:szCs w:val="20"/>
        </w:rPr>
        <w:t xml:space="preserve"> jakichkolwiek prowizji oraz opłat dodatkowych, za wyjątkiem opłaty określonej w punkcie XII oraz opłat związanych z nieterminowym regulowaniem płatności wynikających z Umowy Leasingu Operacyjnego,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zawarcia Umowy Leasingu Operacyjnego pod warunkiem zawieszającym nabycia przez Oferenta od </w:t>
      </w:r>
      <w:r>
        <w:rPr>
          <w:rFonts w:eastAsia="Arial" w:cs="Arial" w:ascii="Calibri" w:hAnsi="Calibri"/>
          <w:sz w:val="20"/>
          <w:szCs w:val="20"/>
        </w:rPr>
        <w:t>Miasta Wałbrzych</w:t>
      </w:r>
      <w:r>
        <w:rPr>
          <w:rFonts w:eastAsia="Arial" w:cs="Arial" w:ascii="Calibri" w:hAnsi="Calibri"/>
          <w:sz w:val="20"/>
          <w:szCs w:val="20"/>
        </w:rPr>
        <w:t xml:space="preserve"> Przedmiotu Przetargu oraz zawarcia Umowy Dzierżawy gruntu,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określenia czasu trwania leasingu na okres 12 lat,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zezwolenia na korzystanie z Przedmiotu Leasingu Operacyjnego, zgodnie z przeznaczeniem Przedmiotu Leasingu Operacyjnego sprzed zawarcia Umowy Leasingu Operacyjnego określonym w Ogłoszeniu,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określenia, że zmiana przeznaczenia Przedmiotu Leasingu Operacyjnego przez </w:t>
      </w:r>
      <w:r>
        <w:rPr>
          <w:rFonts w:eastAsia="Arial" w:cs="Arial" w:ascii="Calibri" w:hAnsi="Calibri"/>
          <w:sz w:val="20"/>
          <w:szCs w:val="20"/>
        </w:rPr>
        <w:t>Miasto Wałbrzych</w:t>
      </w:r>
      <w:r>
        <w:rPr>
          <w:rFonts w:eastAsia="Arial" w:cs="Arial" w:ascii="Calibri" w:hAnsi="Calibri"/>
          <w:sz w:val="20"/>
          <w:szCs w:val="20"/>
        </w:rPr>
        <w:t xml:space="preserve">  nie  wymaga zgody Oferenta jako finansującego,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w okresie obowiązywania Umowy Leasingu Operacyjnego Przedmiot Leasingu Operacyjnego będzie mógł być oddany przez </w:t>
      </w:r>
      <w:r>
        <w:rPr>
          <w:rFonts w:eastAsia="Arial" w:cs="Arial" w:ascii="Calibri" w:hAnsi="Calibri"/>
          <w:sz w:val="20"/>
          <w:szCs w:val="20"/>
        </w:rPr>
        <w:t>Miasto</w:t>
      </w:r>
      <w:r>
        <w:rPr>
          <w:rFonts w:eastAsia="Arial" w:cs="Arial" w:ascii="Calibri" w:hAnsi="Calibri"/>
          <w:sz w:val="20"/>
          <w:szCs w:val="20"/>
        </w:rPr>
        <w:t xml:space="preserve"> Wałbrzych osobie trzeciej do używania, najmu, dzierżawy bez dodatkowej zgody Oferenta,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zezwolenia na dokonywanie remontów, rozbudowy i napraw i innych robót budowlanych lub o podobnym charakterze prowadzonych zgodnie z przepisami prawa w odniesieniu do Przedmiotu Leasingu Operacyjnego, za zgodą Oferenta,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dokonywania amortyzacji Przedmiotu Leasingu Operacyjnego przez Oferenta jako finansującego,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przyznania - po upływie okresu leasingu – prawa na rzecz </w:t>
      </w:r>
      <w:r>
        <w:rPr>
          <w:rFonts w:eastAsia="Arial" w:cs="Arial" w:ascii="Calibri" w:hAnsi="Calibri"/>
          <w:sz w:val="20"/>
          <w:szCs w:val="20"/>
        </w:rPr>
        <w:t>Miasta Wałbrzych</w:t>
      </w:r>
      <w:r>
        <w:rPr>
          <w:rFonts w:eastAsia="Arial" w:cs="Arial" w:ascii="Calibri" w:hAnsi="Calibri"/>
          <w:sz w:val="20"/>
          <w:szCs w:val="20"/>
        </w:rPr>
        <w:t xml:space="preserve">  do odkupu Przedmiotu Leasingu Operacyjnego od Oferenta za cenę określoną w Umowie Leasingu Operacyjnego, równą 40 % ceny początkowej Przedmiotu Leasingu Operacyjnego. </w:t>
      </w:r>
      <w:r>
        <w:rPr>
          <w:rFonts w:cs="Arial" w:ascii="Calibri" w:hAnsi="Calibri"/>
          <w:sz w:val="20"/>
          <w:szCs w:val="20"/>
        </w:rPr>
        <w:t xml:space="preserve">Przy czym depozyt gwarancyjny, który może być gromadzony przez </w:t>
      </w:r>
      <w:r>
        <w:rPr>
          <w:rFonts w:cs="Arial" w:ascii="Calibri" w:hAnsi="Calibri"/>
          <w:sz w:val="20"/>
          <w:szCs w:val="20"/>
        </w:rPr>
        <w:t>m</w:t>
      </w:r>
      <w:r>
        <w:rPr>
          <w:rFonts w:cs="Arial" w:ascii="Calibri" w:hAnsi="Calibri"/>
          <w:sz w:val="20"/>
          <w:szCs w:val="20"/>
        </w:rPr>
        <w:t>iasto Wałbrzych</w:t>
      </w:r>
      <w:r>
        <w:rPr>
          <w:rFonts w:eastAsia="Arial" w:cs="Arial" w:ascii="Calibri" w:hAnsi="Calibri"/>
          <w:sz w:val="20"/>
          <w:szCs w:val="20"/>
        </w:rPr>
        <w:t xml:space="preserve">  </w:t>
      </w:r>
      <w:r>
        <w:rPr>
          <w:rFonts w:cs="Arial" w:ascii="Calibri" w:hAnsi="Calibri"/>
          <w:sz w:val="20"/>
          <w:szCs w:val="20"/>
        </w:rPr>
        <w:t>w okresie trwania Umowy Leasingu Operacyjnego będzie zaliczony w całości na poczet ceny odkupu Przedmiotu Leasingu Operacyjnego.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określenia płatności rat leasingowych w cyklach miesięcznych i w równych ratach,  opartych o zmienną stopę referencyjną WIBOR 3M i powiększoną o stałą marżę Oferenta, ustaloną na podstawie złożonej oferty (formularz ofertowy stanowiący załącznik nr 1 do ogłoszenia o przetargu nr </w:t>
      </w:r>
      <w:r>
        <w:rPr>
          <w:rFonts w:eastAsia="Arial" w:cs="Arial" w:ascii="Calibri" w:hAnsi="Calibri"/>
          <w:b/>
          <w:bCs/>
          <w:sz w:val="20"/>
          <w:szCs w:val="20"/>
        </w:rPr>
        <w:t>9</w:t>
      </w:r>
      <w:r>
        <w:rPr>
          <w:rFonts w:eastAsia="Arial" w:cs="Arial" w:ascii="Calibri" w:hAnsi="Calibri"/>
          <w:b/>
          <w:bCs/>
          <w:sz w:val="20"/>
          <w:szCs w:val="20"/>
        </w:rPr>
        <w:t>/L/15)</w:t>
      </w:r>
      <w:r>
        <w:rPr>
          <w:rFonts w:eastAsia="Arial" w:cs="Arial" w:ascii="Calibri" w:hAnsi="Calibri"/>
          <w:sz w:val="20"/>
          <w:szCs w:val="20"/>
        </w:rPr>
        <w:t>. Zmienna stopa referencyjna WIBOR 3M dla obliczenia wysokości rat leasingowych oraz czynszu dzierżawnego będzie ustalana z ostatniego notowania  w dniu poprzedzającym dzień wystawienia faktury przez Oferenta;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ubezpieczenie Przedmiotu Leasingu Operacyjnego będzie dokonane przez Oferenta (finansującego). Finansujący obciąży </w:t>
      </w:r>
      <w:r>
        <w:rPr>
          <w:rFonts w:eastAsia="Arial" w:cs="Arial" w:ascii="Calibri" w:hAnsi="Calibri"/>
          <w:sz w:val="20"/>
          <w:szCs w:val="20"/>
        </w:rPr>
        <w:t>Miasta Wałbrzych</w:t>
      </w:r>
      <w:r>
        <w:rPr>
          <w:rFonts w:eastAsia="Arial" w:cs="Arial" w:ascii="Calibri" w:hAnsi="Calibri"/>
          <w:sz w:val="20"/>
          <w:szCs w:val="20"/>
        </w:rPr>
        <w:t xml:space="preserve"> kosztem ubezpieczenia, 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Oferent obciąży </w:t>
      </w:r>
      <w:r>
        <w:rPr>
          <w:rFonts w:eastAsia="Arial" w:cs="Arial" w:ascii="Calibri" w:hAnsi="Calibri"/>
          <w:sz w:val="20"/>
          <w:szCs w:val="20"/>
        </w:rPr>
        <w:t>Miasta Wałbrzych</w:t>
      </w:r>
      <w:r>
        <w:rPr>
          <w:rFonts w:eastAsia="Arial" w:cs="Arial" w:ascii="Calibri" w:hAnsi="Calibri"/>
          <w:sz w:val="20"/>
          <w:szCs w:val="20"/>
        </w:rPr>
        <w:t xml:space="preserve"> opłatą eksploatacyjną równą wysokości podatku</w:t>
        <w:br/>
        <w:t>od nieruchomości, w przypadku gdy on wystąpi,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wypowiedzenie Umowy Leasingu Operacyjnego przez Oferenta jedynie w przypadkach określonych w bezwzględnie obowiązujących przepisach prawa. Z zastrzeżeniem, że takie </w:t>
        <w:tab/>
        <w:t xml:space="preserve">wypowiedzenie nie może następować ze skutkiem natychmiastowym, lecz z zachowaniem jednomiesięcznego okresu wypowiedzenia, a ponadto dokonanie wypowiedzenia będzie poprzedzone wezwaniem do usunięcia naruszenia w okresie jednego tygodnia od odbioru wezwania. Ponadto w przypadku określonym w art. 709 k.c. zwrot niezapłaconych rat przez </w:t>
      </w:r>
      <w:r>
        <w:rPr>
          <w:rFonts w:eastAsia="Arial" w:cs="Arial" w:ascii="Calibri" w:hAnsi="Calibri"/>
          <w:sz w:val="20"/>
          <w:szCs w:val="20"/>
        </w:rPr>
        <w:t xml:space="preserve">miasto Wałbrzych </w:t>
      </w:r>
      <w:r>
        <w:rPr>
          <w:rFonts w:eastAsia="Arial" w:cs="Arial" w:ascii="Calibri" w:hAnsi="Calibri"/>
          <w:sz w:val="20"/>
          <w:szCs w:val="20"/>
        </w:rPr>
        <w:t xml:space="preserve">nastąpi w terminie uzgodnionym z </w:t>
      </w:r>
      <w:r>
        <w:rPr>
          <w:rFonts w:eastAsia="Arial" w:cs="Arial" w:ascii="Calibri" w:hAnsi="Calibri"/>
          <w:sz w:val="20"/>
          <w:szCs w:val="20"/>
        </w:rPr>
        <w:t>miastem Wałbrzych</w:t>
      </w:r>
      <w:r>
        <w:rPr>
          <w:rFonts w:eastAsia="Arial" w:cs="Arial" w:ascii="Calibri" w:hAnsi="Calibri"/>
          <w:sz w:val="20"/>
          <w:szCs w:val="20"/>
        </w:rPr>
        <w:t xml:space="preserve"> i może być rozłożony na raty,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w przypadku wypowiedzenia Umowy Leasingu Operacyjnego na skutek zaistnienia przyczyn, o których mowa w punkcie XIII  nie spowoduje to utraty przez </w:t>
      </w:r>
      <w:r>
        <w:rPr>
          <w:rFonts w:eastAsia="Arial" w:cs="Arial" w:ascii="Calibri" w:hAnsi="Calibri"/>
          <w:sz w:val="20"/>
          <w:szCs w:val="20"/>
        </w:rPr>
        <w:t>miasto Wałbrzych</w:t>
      </w:r>
      <w:r>
        <w:rPr>
          <w:rFonts w:eastAsia="Arial" w:cs="Arial" w:ascii="Calibri" w:hAnsi="Calibri"/>
          <w:sz w:val="20"/>
          <w:szCs w:val="20"/>
        </w:rPr>
        <w:t xml:space="preserve"> prawa do odkupu Przedmiotu Leasingu po cenie ustalonej zgodnie z punktem IX powyżej, z zastrzeżeniem, że w sytuacji, gdy sprzedaż przedmiotu leasingu nastąpi przed upływem minimalnego wymaganego okresu (5 lat) dla Umowy Leasingu Operacyjnego </w:t>
      </w:r>
      <w:bookmarkStart w:id="2" w:name="__DdeLink__3196_1981728730"/>
      <w:r>
        <w:rPr>
          <w:rFonts w:eastAsia="Arial" w:cs="Arial" w:ascii="Calibri" w:hAnsi="Calibri"/>
          <w:sz w:val="20"/>
          <w:szCs w:val="20"/>
        </w:rPr>
        <w:t>(12 lat)</w:t>
      </w:r>
      <w:bookmarkEnd w:id="2"/>
      <w:r>
        <w:rPr>
          <w:rFonts w:eastAsia="Arial" w:cs="Arial" w:ascii="Calibri" w:hAnsi="Calibri"/>
          <w:sz w:val="20"/>
          <w:szCs w:val="20"/>
        </w:rPr>
        <w:t xml:space="preserve"> - może zostać ona dokonana jedynie za wartość rynkową, ustaloną przez rzeczoznawcę majątkowego, przy czym depozyt gwarancyjny gromadzony przez </w:t>
      </w:r>
      <w:r>
        <w:rPr>
          <w:rFonts w:eastAsia="Arial" w:cs="Arial" w:ascii="Calibri" w:hAnsi="Calibri"/>
          <w:sz w:val="20"/>
          <w:szCs w:val="20"/>
        </w:rPr>
        <w:t xml:space="preserve">miasto Wałbrzych </w:t>
      </w:r>
      <w:r>
        <w:rPr>
          <w:rFonts w:eastAsia="Arial" w:cs="Arial" w:ascii="Calibri" w:hAnsi="Calibri"/>
          <w:sz w:val="20"/>
          <w:szCs w:val="20"/>
        </w:rPr>
        <w:t>w okresie trwania Umowy Leasingu Operacyjnego będzie zaliczony w całości na poczet ceny odkupu Przedmiotu Leasingu Operacyjnego.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zabezpieczenia przez </w:t>
      </w:r>
      <w:r>
        <w:rPr>
          <w:rFonts w:eastAsia="Arial" w:cs="Arial" w:ascii="Calibri" w:hAnsi="Calibri"/>
          <w:sz w:val="20"/>
          <w:szCs w:val="20"/>
        </w:rPr>
        <w:t>Miasta</w:t>
      </w:r>
      <w:r>
        <w:rPr>
          <w:rFonts w:eastAsia="Arial" w:cs="Arial" w:ascii="Calibri" w:hAnsi="Calibri"/>
          <w:sz w:val="20"/>
          <w:szCs w:val="20"/>
        </w:rPr>
        <w:t xml:space="preserve"> Wałbrzych  płatności z Umowy Leasingu Operacyjnego w formie weksla własnego (in blanco) wystawionego na rzecz Oferenta jako finansującego – z prawem do indosu na rzecz osób trzecich, oraz cesji praw z polisy ubezpieczeniowej Nieruchomości na rzecz Oferenta,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poddanie się przez </w:t>
      </w:r>
      <w:r>
        <w:rPr>
          <w:rFonts w:eastAsia="Arial" w:cs="Arial" w:ascii="Calibri" w:hAnsi="Calibri"/>
          <w:sz w:val="20"/>
          <w:szCs w:val="20"/>
        </w:rPr>
        <w:t>miasto Wałbrzych</w:t>
      </w:r>
      <w:r>
        <w:rPr>
          <w:rFonts w:eastAsia="Arial" w:cs="Arial" w:ascii="Calibri" w:hAnsi="Calibri"/>
          <w:sz w:val="20"/>
          <w:szCs w:val="20"/>
        </w:rPr>
        <w:t xml:space="preserve"> bankowemu tytułowi egzekucyjnemu lub ustanowienie tytułu egzekucyjnego przez </w:t>
      </w:r>
      <w:r>
        <w:rPr>
          <w:rFonts w:eastAsia="Arial" w:cs="Arial" w:ascii="Calibri" w:hAnsi="Calibri"/>
          <w:sz w:val="20"/>
          <w:szCs w:val="20"/>
        </w:rPr>
        <w:t>miasto Wałbrzych</w:t>
      </w:r>
      <w:r>
        <w:rPr>
          <w:rFonts w:eastAsia="Arial" w:cs="Arial" w:ascii="Calibri" w:hAnsi="Calibri"/>
          <w:sz w:val="20"/>
          <w:szCs w:val="20"/>
        </w:rPr>
        <w:t>,  o którym mowa w art. 777 KPC, wskazanego przez Oferenta,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Przedmiot Leasingu Operacyjnego w okresie trwania Umowy Leasingu Operacyjnego może być przedmiotem rozporządzenia lub obciążenia prawami na rzecz osób trzecich za uprzednią zgodą </w:t>
      </w:r>
      <w:r>
        <w:rPr>
          <w:rFonts w:eastAsia="Arial" w:cs="Arial" w:ascii="Calibri" w:hAnsi="Calibri"/>
          <w:sz w:val="20"/>
          <w:szCs w:val="20"/>
        </w:rPr>
        <w:t xml:space="preserve">miasta Wałbrzych </w:t>
      </w:r>
      <w:r>
        <w:rPr>
          <w:rFonts w:eastAsia="Arial" w:cs="Arial" w:ascii="Calibri" w:hAnsi="Calibri"/>
          <w:sz w:val="20"/>
          <w:szCs w:val="20"/>
        </w:rPr>
        <w:t>wyrażoną w formie pisemnej z podpisem notarialnie poświadczonym,</w:t>
      </w:r>
      <w:r/>
    </w:p>
    <w:p>
      <w:pPr>
        <w:pStyle w:val="Domylnie"/>
        <w:numPr>
          <w:ilvl w:val="0"/>
          <w:numId w:val="1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Umowa Leasingu Operacyjnego będzie określać całość praw i obowiązków Stron bez odwoływania się do ogólnych warunków umów leasingu operacyjnego stosowanych przez finansującego.</w:t>
      </w:r>
      <w:r/>
    </w:p>
    <w:p>
      <w:pPr>
        <w:pStyle w:val="Domylnie"/>
        <w:spacing w:lineRule="atLeast" w:line="360"/>
        <w:ind w:left="705" w:right="0" w:hanging="0"/>
        <w:jc w:val="both"/>
        <w:rPr>
          <w:sz w:val="24"/>
          <w:sz w:val="24"/>
          <w:szCs w:val="24"/>
          <w:rFonts w:ascii="Times New Roman" w:hAnsi="Times New Roman" w:eastAsia="Lucida Sans Unicode" w:cs="Mangal"/>
          <w:color w:val="00000A"/>
          <w:lang w:val="pl-PL" w:eastAsia="hi-IN" w:bidi="hi-IN"/>
        </w:rPr>
      </w:pPr>
      <w:r>
        <w:rPr>
          <w:rFonts w:eastAsia="Lucida Sans Unicode" w:cs="Mangal"/>
          <w:color w:val="00000A"/>
          <w:sz w:val="24"/>
          <w:szCs w:val="24"/>
          <w:lang w:val="pl-PL" w:eastAsia="hi-IN" w:bidi="hi-IN"/>
        </w:rPr>
      </w:r>
      <w:r/>
    </w:p>
    <w:p>
      <w:pPr>
        <w:pStyle w:val="Domylnie"/>
        <w:spacing w:lineRule="atLeast" w:line="360"/>
        <w:jc w:val="both"/>
      </w:pPr>
      <w:r>
        <w:rPr>
          <w:rFonts w:eastAsia="Arial" w:cs="Arial" w:ascii="Calibri" w:hAnsi="Calibri"/>
          <w:b/>
          <w:bCs/>
          <w:sz w:val="20"/>
          <w:szCs w:val="20"/>
        </w:rPr>
        <w:t>b)</w:t>
      </w:r>
      <w:r>
        <w:rPr>
          <w:rFonts w:eastAsia="Arial" w:cs="Arial" w:ascii="Calibri" w:hAnsi="Calibri"/>
          <w:sz w:val="20"/>
          <w:szCs w:val="20"/>
        </w:rPr>
        <w:t xml:space="preserve"> </w:t>
      </w:r>
      <w:r>
        <w:rPr>
          <w:rFonts w:eastAsia="Arial" w:cs="Arial" w:ascii="Calibri" w:hAnsi="Calibri"/>
          <w:b/>
          <w:bCs/>
          <w:sz w:val="20"/>
          <w:szCs w:val="20"/>
        </w:rPr>
        <w:t>dzierżawy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określenia wszystkich płatności z tytułu Umowy Dzierżawy w całym okresie </w:t>
        <w:tab/>
        <w:t xml:space="preserve">obowiązywania umowy, obejmujących: czynsz dzierżawny (kwota główna plus odsetki) i cenę odkupu Przedmiotu Leasingu Operacyjnego bez wymogu płatności przez </w:t>
      </w:r>
      <w:r>
        <w:rPr>
          <w:rFonts w:eastAsia="Arial" w:cs="Arial" w:ascii="Calibri" w:hAnsi="Calibri"/>
          <w:sz w:val="20"/>
          <w:szCs w:val="20"/>
        </w:rPr>
        <w:t>miasto Wałbrzych na prawach powiatu</w:t>
      </w:r>
      <w:r>
        <w:rPr>
          <w:rFonts w:eastAsia="Arial" w:cs="Arial" w:ascii="Calibri" w:hAnsi="Calibri"/>
          <w:sz w:val="20"/>
          <w:szCs w:val="20"/>
        </w:rPr>
        <w:t xml:space="preserve"> jakichkolwiek prowizji, opłat dodatkowych, za wyjątkiem opłaty określonej w punkcie XI oraz opłat związanych z nieterminowym regulowaniem płatności wynikających z Umowy Dzierżawy,</w:t>
      </w:r>
      <w:r/>
    </w:p>
    <w:p>
      <w:pPr>
        <w:pStyle w:val="Domylnie"/>
        <w:numPr>
          <w:ilvl w:val="0"/>
          <w:numId w:val="0"/>
        </w:numPr>
        <w:spacing w:lineRule="atLeast" w:line="360"/>
        <w:ind w:left="709" w:right="0" w:hanging="425"/>
        <w:jc w:val="both"/>
        <w:rPr>
          <w:sz w:val="20"/>
          <w:sz w:val="20"/>
          <w:szCs w:val="20"/>
          <w:rFonts w:ascii="Calibri" w:hAnsi="Calibri" w:eastAsia="Arial" w:cs="Arial"/>
        </w:rPr>
      </w:pPr>
      <w:r>
        <w:rPr/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</w:pPr>
      <w:r>
        <w:rPr>
          <w:rFonts w:eastAsia="Arial" w:cs="Arial" w:ascii="Calibri" w:hAnsi="Calibri"/>
          <w:sz w:val="20"/>
          <w:szCs w:val="20"/>
        </w:rPr>
        <w:t xml:space="preserve">zawarcia jej pod warunkiem zawieszającym nabycia przez Oferenta od </w:t>
      </w:r>
      <w:r>
        <w:rPr>
          <w:rFonts w:eastAsia="Arial" w:cs="Arial" w:ascii="Calibri" w:hAnsi="Calibri"/>
          <w:sz w:val="20"/>
          <w:szCs w:val="20"/>
        </w:rPr>
        <w:t xml:space="preserve">miastem Wałbrzych </w:t>
      </w:r>
      <w:r>
        <w:rPr>
          <w:rFonts w:eastAsia="Arial" w:cs="Arial" w:ascii="Calibri" w:hAnsi="Calibri"/>
          <w:sz w:val="20"/>
          <w:szCs w:val="20"/>
        </w:rPr>
        <w:t>Przedmiotu Leasingu Operacyjnego,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określenia czasu trwania dzierżawy na okres 12 lat równy okresowi leasingu,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 </w:t>
      </w:r>
      <w:r>
        <w:rPr>
          <w:rFonts w:eastAsia="Arial" w:cs="Arial" w:ascii="Calibri" w:hAnsi="Calibri"/>
          <w:sz w:val="20"/>
          <w:szCs w:val="20"/>
        </w:rPr>
        <w:t>zezwolenia na korzystanie z Przedmiotu Dzierżawy zgodnie z przeznaczeniem Przedmiotu Dzierżawy sprzed zawarcia Umowy Dzierżawy,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określenia, że zmiana przeznaczenia Przedmiotu Dzierżawy przez </w:t>
      </w:r>
      <w:r>
        <w:rPr>
          <w:rFonts w:eastAsia="Arial" w:cs="Arial" w:ascii="Calibri" w:hAnsi="Calibri"/>
          <w:sz w:val="20"/>
          <w:szCs w:val="20"/>
        </w:rPr>
        <w:t>miasto Wałbrzych</w:t>
      </w:r>
      <w:r>
        <w:rPr>
          <w:rFonts w:eastAsia="Arial" w:cs="Arial" w:ascii="Calibri" w:hAnsi="Calibri"/>
          <w:sz w:val="20"/>
          <w:szCs w:val="20"/>
        </w:rPr>
        <w:t xml:space="preserve">  - wymaga zgody Oferenta jako wydzierżawiającego,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w okresie obowiązywania Umowy Dzierżawy Przedmiot Dzierżawy będzie mógł być oddany przez </w:t>
      </w:r>
      <w:r>
        <w:rPr>
          <w:rFonts w:eastAsia="Arial" w:cs="Arial" w:ascii="Calibri" w:hAnsi="Calibri"/>
          <w:sz w:val="20"/>
          <w:szCs w:val="20"/>
        </w:rPr>
        <w:t>miasto Wałbrzych</w:t>
      </w:r>
      <w:r>
        <w:rPr>
          <w:rFonts w:eastAsia="Arial" w:cs="Arial" w:ascii="Calibri" w:hAnsi="Calibri"/>
          <w:sz w:val="20"/>
          <w:szCs w:val="20"/>
        </w:rPr>
        <w:t xml:space="preserve">  osobie trzeciej do używania, najmu, dzierżawy bez dodatkowej zgody Oferenta,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zezwolenia na dokonywanie robót budowlanych lub podobnych w odniesieniu do Przedmiotu Dzierżawy,  bez zgody Oferenta,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przyznania - po upływie okresu dzierżawy – prawa na rzecz </w:t>
      </w:r>
      <w:r>
        <w:rPr>
          <w:rFonts w:eastAsia="Arial" w:cs="Arial" w:ascii="Calibri" w:hAnsi="Calibri"/>
          <w:sz w:val="20"/>
          <w:szCs w:val="20"/>
        </w:rPr>
        <w:t>miasta Wałbrzych</w:t>
      </w:r>
      <w:r>
        <w:rPr>
          <w:rFonts w:eastAsia="Arial" w:cs="Arial" w:ascii="Calibri" w:hAnsi="Calibri"/>
          <w:sz w:val="20"/>
          <w:szCs w:val="20"/>
        </w:rPr>
        <w:t xml:space="preserve">  do odkupu Przedmiotu Dzierżawy od Oferenta za cenę określoną w Umowie Dzierżawy, równą 100% wartości początkowej Przedmiotu Dzierżawy. Przy czym depozyt gwarancyjny, który może być gromadzony przez </w:t>
      </w:r>
      <w:r>
        <w:rPr>
          <w:rFonts w:eastAsia="Arial" w:cs="Arial" w:ascii="Calibri" w:hAnsi="Calibri"/>
          <w:sz w:val="20"/>
          <w:szCs w:val="20"/>
        </w:rPr>
        <w:t xml:space="preserve">miasto Wałbrzych </w:t>
        <w:br/>
      </w:r>
      <w:r>
        <w:rPr>
          <w:rFonts w:eastAsia="Arial" w:cs="Arial" w:ascii="Calibri" w:hAnsi="Calibri"/>
          <w:sz w:val="20"/>
          <w:szCs w:val="20"/>
        </w:rPr>
        <w:t>w okresie trwania Umowy Dzierżawy będzie zaliczony w całości na poczet ceny odkupu Przedmiotu Dzierżawy,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>określenia płatności czynszu dzierżawnego w cyklach miesięcznych i w terminach płatności zgodnych</w:t>
        <w:br/>
        <w:t>z płatnościami rat określonych w Umowie Dzierżawy,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ubezpieczenie Przedmiotu Dzierżawy będzie dokonane przez Oferenta (finansującego). Finansujący obciąży Gminę kosztem ubezpieczenia, 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Oferent obciąży </w:t>
      </w:r>
      <w:r>
        <w:rPr>
          <w:rFonts w:eastAsia="Arial" w:cs="Arial" w:ascii="Calibri" w:hAnsi="Calibri"/>
          <w:sz w:val="20"/>
          <w:szCs w:val="20"/>
        </w:rPr>
        <w:t>miasto Wałbrzych</w:t>
      </w:r>
      <w:r>
        <w:rPr>
          <w:rFonts w:eastAsia="Arial" w:cs="Arial" w:ascii="Calibri" w:hAnsi="Calibri"/>
          <w:sz w:val="20"/>
          <w:szCs w:val="20"/>
        </w:rPr>
        <w:t xml:space="preserve"> opłatą eksploatacyjną równą wysokości podatku od nieruchomości,</w:t>
        <w:br/>
        <w:t>w przypadku gdy on wystąpi,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 </w:t>
      </w:r>
      <w:r>
        <w:rPr>
          <w:rFonts w:eastAsia="Arial" w:cs="Arial" w:ascii="Calibri" w:hAnsi="Calibri"/>
          <w:sz w:val="20"/>
          <w:szCs w:val="20"/>
        </w:rPr>
        <w:t>wypowiedzenie Umowy Dzierżawy  przez Oferenta jedynie w przypadku wypowiedzenia Umowy Leasingu Operacyjnego i z zachowaniem rygorów określonych przy wypowiedzeniu Umowy Leasingu Operacyjnego, określonych w punkcie 2.1 a) XIII. Dodatkowych Warunków Przetargu,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wypowiedzenie Umowy Dzierżawy nie spowoduje utraty przez </w:t>
      </w:r>
      <w:r>
        <w:rPr>
          <w:rFonts w:eastAsia="Arial" w:cs="Arial" w:ascii="Calibri" w:hAnsi="Calibri"/>
          <w:sz w:val="20"/>
          <w:szCs w:val="20"/>
        </w:rPr>
        <w:t>miasto</w:t>
      </w:r>
      <w:r>
        <w:rPr>
          <w:rFonts w:eastAsia="Arial" w:cs="Arial" w:ascii="Calibri" w:hAnsi="Calibri"/>
          <w:sz w:val="20"/>
          <w:szCs w:val="20"/>
        </w:rPr>
        <w:t xml:space="preserve">  Wałbrzych  prawa do odkupu Przedmiotu Dzierżawy po cenie ustalonej zgodnie z punktem VIII powyżej,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zabezpieczenia przez </w:t>
      </w:r>
      <w:r>
        <w:rPr>
          <w:rFonts w:eastAsia="Arial" w:cs="Arial" w:ascii="Calibri" w:hAnsi="Calibri"/>
          <w:sz w:val="20"/>
          <w:szCs w:val="20"/>
        </w:rPr>
        <w:t>miasta</w:t>
      </w:r>
      <w:r>
        <w:rPr>
          <w:rFonts w:eastAsia="Arial" w:cs="Arial" w:ascii="Calibri" w:hAnsi="Calibri"/>
          <w:sz w:val="20"/>
          <w:szCs w:val="20"/>
        </w:rPr>
        <w:t xml:space="preserve"> Wałbrzych  płatności z Umowy Dzierżawy jedynie w formie weksla własnego</w:t>
        <w:br/>
        <w:t>z prawem do indosu na rzecz osób trzecich, oraz cesji praw z polisy ubezpieczeniowej Nieruchomości, na rzecz Oferenta,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poddanie się przez </w:t>
      </w:r>
      <w:r>
        <w:rPr>
          <w:rFonts w:eastAsia="Arial" w:cs="Arial" w:ascii="Calibri" w:hAnsi="Calibri"/>
          <w:sz w:val="20"/>
          <w:szCs w:val="20"/>
        </w:rPr>
        <w:t>miasta Wałbrzych</w:t>
      </w:r>
      <w:r>
        <w:rPr>
          <w:rFonts w:eastAsia="Arial" w:cs="Arial" w:ascii="Calibri" w:hAnsi="Calibri"/>
          <w:sz w:val="20"/>
          <w:szCs w:val="20"/>
        </w:rPr>
        <w:t xml:space="preserve"> bankowemu tytułowi egzekucyjnemu lub ustanowienie tytułu egzekucyjnego przez </w:t>
      </w:r>
      <w:r>
        <w:rPr>
          <w:rFonts w:eastAsia="Arial" w:cs="Arial" w:ascii="Calibri" w:hAnsi="Calibri"/>
          <w:sz w:val="20"/>
          <w:szCs w:val="20"/>
        </w:rPr>
        <w:t>miasta Wałbrzychtu</w:t>
      </w:r>
      <w:r>
        <w:rPr>
          <w:rFonts w:eastAsia="Arial" w:cs="Arial" w:ascii="Calibri" w:hAnsi="Calibri"/>
          <w:sz w:val="20"/>
          <w:szCs w:val="20"/>
        </w:rPr>
        <w:t>,  o którym mogą w art. 777 KPC, wskazanego przez Oferenta,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Przedmiot Dzierżawy w okresie trwania Umowy Dzierżawy może być przedmiotem rozporządzenia lub obciążenia prawami na rzecz osób trzecich, za uprzednią zgodą </w:t>
      </w:r>
      <w:r>
        <w:rPr>
          <w:rFonts w:eastAsia="Arial" w:cs="Arial" w:ascii="Calibri" w:hAnsi="Calibri"/>
          <w:sz w:val="20"/>
          <w:szCs w:val="20"/>
        </w:rPr>
        <w:t>miasta Wałbrzych</w:t>
      </w:r>
      <w:r>
        <w:rPr>
          <w:rFonts w:eastAsia="Arial" w:cs="Arial" w:ascii="Calibri" w:hAnsi="Calibri"/>
          <w:sz w:val="20"/>
          <w:szCs w:val="20"/>
        </w:rPr>
        <w:t xml:space="preserve"> wyrażoną w formie pisemnej z podpisem notarialnie poświadczonym,</w:t>
      </w:r>
      <w:r/>
    </w:p>
    <w:p>
      <w:pPr>
        <w:pStyle w:val="Domylnie"/>
        <w:numPr>
          <w:ilvl w:val="0"/>
          <w:numId w:val="2"/>
        </w:numPr>
        <w:spacing w:lineRule="atLeast" w:line="360"/>
        <w:ind w:left="709" w:right="0" w:hanging="425"/>
        <w:jc w:val="both"/>
      </w:pPr>
      <w:r>
        <w:rPr>
          <w:rFonts w:eastAsia="Arial" w:cs="Arial" w:ascii="Calibri" w:hAnsi="Calibri"/>
          <w:sz w:val="20"/>
          <w:szCs w:val="20"/>
        </w:rPr>
        <w:t xml:space="preserve">Umowa Dzierżawy będzie określać całość praw i obowiązków Stron bez odwoływania </w:t>
        <w:tab/>
        <w:t>się do ogólnych warunków umów stosowanych przez finansującego.</w:t>
      </w:r>
      <w:r/>
    </w:p>
    <w:p>
      <w:pPr>
        <w:pStyle w:val="Domylnie"/>
        <w:numPr>
          <w:ilvl w:val="1"/>
          <w:numId w:val="4"/>
        </w:numPr>
        <w:spacing w:lineRule="atLeast" w:line="360"/>
        <w:ind w:left="709" w:right="0" w:hanging="709"/>
        <w:jc w:val="both"/>
      </w:pPr>
      <w:r>
        <w:rPr>
          <w:rFonts w:eastAsia="Arial" w:cs="Arial" w:ascii="Calibri" w:hAnsi="Calibri"/>
          <w:sz w:val="20"/>
          <w:szCs w:val="20"/>
        </w:rPr>
        <w:t xml:space="preserve">Żadne z postanowień umów nie może naruszać powszechnie obowiązujących przepisów prawa, do stosowania których zobowiązana jest </w:t>
      </w:r>
      <w:r>
        <w:rPr>
          <w:rFonts w:eastAsia="Arial" w:cs="Arial" w:ascii="Calibri" w:hAnsi="Calibri"/>
          <w:sz w:val="20"/>
          <w:szCs w:val="20"/>
        </w:rPr>
        <w:t>miasta Wałbrzych</w:t>
      </w:r>
      <w:r>
        <w:rPr>
          <w:rFonts w:eastAsia="Arial" w:cs="Arial" w:ascii="Calibri" w:hAnsi="Calibri"/>
          <w:sz w:val="20"/>
          <w:szCs w:val="20"/>
        </w:rPr>
        <w:t xml:space="preserve">, w przeciwnym razie postanowienia te nie wiążą stron, a </w:t>
      </w:r>
      <w:r>
        <w:rPr>
          <w:rFonts w:eastAsia="Arial" w:cs="Arial" w:ascii="Calibri" w:hAnsi="Calibri"/>
          <w:sz w:val="20"/>
          <w:szCs w:val="20"/>
        </w:rPr>
        <w:t>miasta Wałbrzych</w:t>
      </w:r>
      <w:r>
        <w:rPr>
          <w:rFonts w:eastAsia="Arial" w:cs="Arial" w:ascii="Calibri" w:hAnsi="Calibri"/>
          <w:sz w:val="20"/>
          <w:szCs w:val="20"/>
        </w:rPr>
        <w:t xml:space="preserve">  zobowiązana jest do zastosowania przepisów powszechnie obowiązujących.</w:t>
      </w:r>
      <w:r/>
    </w:p>
    <w:p>
      <w:pPr>
        <w:pStyle w:val="Domylnie"/>
        <w:numPr>
          <w:ilvl w:val="1"/>
          <w:numId w:val="4"/>
        </w:numPr>
        <w:spacing w:lineRule="atLeast" w:line="360"/>
        <w:ind w:left="709" w:right="0" w:hanging="709"/>
        <w:jc w:val="both"/>
      </w:pPr>
      <w:r>
        <w:rPr>
          <w:rFonts w:eastAsia="Arial" w:cs="Arial" w:ascii="Calibri" w:hAnsi="Calibri"/>
          <w:sz w:val="20"/>
          <w:szCs w:val="20"/>
        </w:rPr>
        <w:t>Oferent zobowiąże się, że nie będzie stosował jakichkolwiek przepisów wewnętrznych lub regulaminów obowiązujących u Oferenta, jeżeli ich zastosowanie uniemożliwiłoby zastosowanie przepisów, o których mowa w pkt. 2.2.</w:t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righ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2.%3."/>
      <w:lvlJc w:val="right"/>
      <w:pPr>
        <w:ind w:left="2865" w:hanging="180"/>
      </w:pPr>
    </w:lvl>
    <w:lvl w:ilvl="3">
      <w:start w:val="1"/>
      <w:numFmt w:val="decimal"/>
      <w:lvlText w:val="%2.%3.%4."/>
      <w:lvlJc w:val="left"/>
      <w:pPr>
        <w:ind w:left="3585" w:hanging="360"/>
      </w:pPr>
    </w:lvl>
    <w:lvl w:ilvl="4">
      <w:start w:val="1"/>
      <w:numFmt w:val="lowerLetter"/>
      <w:lvlText w:val="%2.%3.%4.%5."/>
      <w:lvlJc w:val="left"/>
      <w:pPr>
        <w:ind w:left="4305" w:hanging="360"/>
      </w:pPr>
    </w:lvl>
    <w:lvl w:ilvl="5">
      <w:start w:val="1"/>
      <w:numFmt w:val="lowerRoman"/>
      <w:lvlText w:val="%2.%3.%4.%5.%6."/>
      <w:lvlJc w:val="right"/>
      <w:pPr>
        <w:ind w:left="5025" w:hanging="180"/>
      </w:pPr>
    </w:lvl>
    <w:lvl w:ilvl="6">
      <w:start w:val="1"/>
      <w:numFmt w:val="decimal"/>
      <w:lvlText w:val="%2.%3.%4.%5.%6.%7."/>
      <w:lvlJc w:val="left"/>
      <w:pPr>
        <w:ind w:left="5745" w:hanging="360"/>
      </w:pPr>
    </w:lvl>
    <w:lvl w:ilvl="7">
      <w:start w:val="1"/>
      <w:numFmt w:val="lowerLetter"/>
      <w:lvlText w:val="%2.%3.%4.%5.%6.%7.%8."/>
      <w:lvlJc w:val="left"/>
      <w:pPr>
        <w:ind w:left="6465" w:hanging="360"/>
      </w:pPr>
    </w:lvl>
    <w:lvl w:ilvl="8">
      <w:start w:val="1"/>
      <w:numFmt w:val="lowerRoman"/>
      <w:lvlText w:val="%2.%3.%4.%5.%6.%7.%8.%9."/>
      <w:lvlJc w:val="right"/>
      <w:pPr>
        <w:ind w:left="7185" w:hanging="180"/>
      </w:pPr>
    </w:lvl>
  </w:abstractNum>
  <w:abstractNum w:abstractNumId="2">
    <w:lvl w:ilvl="0">
      <w:start w:val="1"/>
      <w:numFmt w:val="upperRoman"/>
      <w:lvlText w:val="%1."/>
      <w:lvlJc w:val="righ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2.%3."/>
      <w:lvlJc w:val="right"/>
      <w:pPr>
        <w:ind w:left="2865" w:hanging="180"/>
      </w:pPr>
    </w:lvl>
    <w:lvl w:ilvl="3">
      <w:start w:val="1"/>
      <w:numFmt w:val="decimal"/>
      <w:lvlText w:val="%2.%3.%4."/>
      <w:lvlJc w:val="left"/>
      <w:pPr>
        <w:ind w:left="3585" w:hanging="360"/>
      </w:pPr>
    </w:lvl>
    <w:lvl w:ilvl="4">
      <w:start w:val="1"/>
      <w:numFmt w:val="lowerLetter"/>
      <w:lvlText w:val="%2.%3.%4.%5."/>
      <w:lvlJc w:val="left"/>
      <w:pPr>
        <w:ind w:left="4305" w:hanging="360"/>
      </w:pPr>
    </w:lvl>
    <w:lvl w:ilvl="5">
      <w:start w:val="1"/>
      <w:numFmt w:val="lowerRoman"/>
      <w:lvlText w:val="%2.%3.%4.%5.%6."/>
      <w:lvlJc w:val="right"/>
      <w:pPr>
        <w:ind w:left="5025" w:hanging="180"/>
      </w:pPr>
    </w:lvl>
    <w:lvl w:ilvl="6">
      <w:start w:val="1"/>
      <w:numFmt w:val="decimal"/>
      <w:lvlText w:val="%2.%3.%4.%5.%6.%7."/>
      <w:lvlJc w:val="left"/>
      <w:pPr>
        <w:ind w:left="5745" w:hanging="360"/>
      </w:pPr>
    </w:lvl>
    <w:lvl w:ilvl="7">
      <w:start w:val="1"/>
      <w:numFmt w:val="lowerLetter"/>
      <w:lvlText w:val="%2.%3.%4.%5.%6.%7.%8."/>
      <w:lvlJc w:val="left"/>
      <w:pPr>
        <w:ind w:left="6465" w:hanging="360"/>
      </w:pPr>
    </w:lvl>
    <w:lvl w:ilvl="8">
      <w:start w:val="1"/>
      <w:numFmt w:val="lowerRoman"/>
      <w:lvlText w:val="%2.%3.%4.%5.%6.%7.%8.%9."/>
      <w:lvlJc w:val="right"/>
      <w:pPr>
        <w:ind w:left="7185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lvl w:ilvl="0">
      <w:start w:val="2"/>
      <w:numFmt w:val="decimal"/>
      <w:lvlText w:val="%1"/>
      <w:lvlJc w:val="left"/>
      <w:pPr>
        <w:ind w:left="360" w:hanging="360"/>
      </w:pPr>
      <w:rPr>
        <w:b w:val="fals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fals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fals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fals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 w:val="fals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fals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 w:val="fals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fals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false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character" w:styleId="DefaultParagraphFont">
    <w:name w:val="Default Paragraph Font"/>
    <w:rPr/>
  </w:style>
  <w:style w:type="character" w:styleId="Annotationreference">
    <w:name w:val="annotation reference"/>
    <w:rPr>
      <w:sz w:val="16"/>
      <w:szCs w:val="16"/>
    </w:rPr>
  </w:style>
  <w:style w:type="character" w:styleId="TekstkomentarzaZnak">
    <w:name w:val="Tekst komentarza Znak"/>
    <w:basedOn w:val="DefaultParagraphFont"/>
    <w:rPr>
      <w:rFonts w:ascii="Times New Roman" w:hAnsi="Times New Roman" w:eastAsia="Lucida Sans Unicode" w:cs="Mangal"/>
      <w:sz w:val="20"/>
      <w:szCs w:val="18"/>
      <w:lang w:eastAsia="hi-IN" w:bidi="hi-IN"/>
    </w:rPr>
  </w:style>
  <w:style w:type="character" w:styleId="ZwykytekstZnak">
    <w:name w:val="Zwykły tekst Znak"/>
    <w:basedOn w:val="DefaultParagraphFont"/>
    <w:rPr>
      <w:rFonts w:ascii="Calibri" w:hAnsi="Calibri" w:eastAsia="Times New Roman" w:cs="Consolas"/>
      <w:szCs w:val="21"/>
      <w:lang w:eastAsia="pl-PL"/>
    </w:rPr>
  </w:style>
  <w:style w:type="character" w:styleId="TekstdymkaZnak">
    <w:name w:val="Tekst dymka Znak"/>
    <w:basedOn w:val="DefaultParagraphFont"/>
    <w:rPr>
      <w:rFonts w:ascii="Segoe UI" w:hAnsi="Segoe UI" w:eastAsia="Lucida Sans Unicode" w:cs="Mangal"/>
      <w:sz w:val="18"/>
      <w:szCs w:val="16"/>
      <w:lang w:eastAsia="hi-IN" w:bidi="hi-IN"/>
    </w:rPr>
  </w:style>
  <w:style w:type="character" w:styleId="ListLabel1">
    <w:name w:val="ListLabel 1"/>
    <w:rPr>
      <w:b w:val="false"/>
    </w:rPr>
  </w:style>
  <w:style w:type="character" w:styleId="ListLabel2">
    <w:name w:val="ListLabel 2"/>
    <w:rPr>
      <w:b w:val="false"/>
    </w:rPr>
  </w:style>
  <w:style w:type="character" w:styleId="ListLabel3">
    <w:name w:val="ListLabel 3"/>
    <w:rPr>
      <w:b w:val="false"/>
    </w:rPr>
  </w:style>
  <w:style w:type="character" w:styleId="ListLabel4">
    <w:name w:val="ListLabel 4"/>
    <w:rPr>
      <w:b w:val="false"/>
    </w:rPr>
  </w:style>
  <w:style w:type="character" w:styleId="ListLabel5">
    <w:name w:val="ListLabel 5"/>
    <w:rPr>
      <w:b w:val="false"/>
    </w:rPr>
  </w:style>
  <w:style w:type="character" w:styleId="ListLabel6">
    <w:name w:val="ListLabel 6"/>
    <w:rPr>
      <w:b w:val="false"/>
    </w:rPr>
  </w:style>
  <w:style w:type="character" w:styleId="ListLabel7">
    <w:name w:val="ListLabel 7"/>
    <w:rPr>
      <w:b w:val="false"/>
    </w:rPr>
  </w:style>
  <w:style w:type="character" w:styleId="ListLabel8">
    <w:name w:val="ListLabel 8"/>
    <w:rPr>
      <w:b w:val="false"/>
    </w:rPr>
  </w:style>
  <w:style w:type="character" w:styleId="ListLabel9">
    <w:name w:val="ListLabel 9"/>
    <w:rPr>
      <w:b w:val="false"/>
    </w:rPr>
  </w:style>
  <w:style w:type="character" w:styleId="ListLabel10">
    <w:name w:val="ListLabel 10"/>
    <w:rPr>
      <w:b w:val="false"/>
    </w:rPr>
  </w:style>
  <w:style w:type="character" w:styleId="ListLabel11">
    <w:name w:val="ListLabel 11"/>
    <w:rPr>
      <w:b w:val="false"/>
    </w:rPr>
  </w:style>
  <w:style w:type="paragraph" w:styleId="Nagwek">
    <w:name w:val="Nagłówek"/>
    <w:basedOn w:val="Normal"/>
    <w:next w:val="Tretekstu"/>
    <w:pPr>
      <w:keepNext/>
      <w:widowControl w:val="false"/>
      <w:suppressAutoHyphens w:val="true"/>
      <w:bidi w:val="0"/>
      <w:spacing w:before="240" w:after="120"/>
      <w:jc w:val="left"/>
    </w:pPr>
    <w:rPr>
      <w:rFonts w:ascii="Arial" w:hAnsi="Arial" w:eastAsia="Lucida Sans Unicode" w:cs="Mangal"/>
      <w:color w:val="00000A"/>
      <w:sz w:val="28"/>
      <w:szCs w:val="28"/>
      <w:lang w:val="pl-PL" w:eastAsia="zh-CN" w:bidi="hi-IN"/>
    </w:rPr>
  </w:style>
  <w:style w:type="paragraph" w:styleId="Tretekstu">
    <w:name w:val="Treść tekstu"/>
    <w:basedOn w:val="Normal"/>
    <w:pPr>
      <w:widowControl w:val="false"/>
      <w:suppressAutoHyphens w:val="true"/>
      <w:bidi w:val="0"/>
      <w:spacing w:lineRule="auto" w:line="288" w:before="0" w:after="12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SimSun" w:cs="Mangal"/>
      <w:i/>
      <w:iCs/>
      <w:color w:val="00000A"/>
      <w:sz w:val="24"/>
      <w:szCs w:val="24"/>
      <w:lang w:val="pl-PL" w:eastAsia="zh-CN" w:bidi="hi-IN"/>
    </w:rPr>
  </w:style>
  <w:style w:type="paragraph" w:styleId="Indeks">
    <w:name w:val="Indeks"/>
    <w:basedOn w:val="Normal"/>
    <w:pPr>
      <w:widowControl w:val="false"/>
      <w:suppressLineNumbers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Domylnie">
    <w:name w:val="Domyślnie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pl-PL" w:eastAsia="hi-IN" w:bidi="hi-IN"/>
    </w:rPr>
  </w:style>
  <w:style w:type="paragraph" w:styleId="Annotationtext">
    <w:name w:val="annotation text"/>
    <w:basedOn w:val="Domylnie"/>
    <w:pPr/>
    <w:rPr>
      <w:sz w:val="20"/>
      <w:szCs w:val="18"/>
    </w:rPr>
  </w:style>
  <w:style w:type="paragraph" w:styleId="PlainText">
    <w:name w:val="Plain Text"/>
    <w:basedOn w:val="Domylnie"/>
    <w:pPr>
      <w:widowControl/>
      <w:suppressAutoHyphens w:val="false"/>
    </w:pPr>
    <w:rPr>
      <w:rFonts w:ascii="Calibri" w:hAnsi="Calibri" w:eastAsia="Times New Roman" w:cs="Consolas"/>
      <w:sz w:val="22"/>
      <w:szCs w:val="21"/>
      <w:lang w:eastAsia="pl-PL" w:bidi="ar-SA"/>
    </w:rPr>
  </w:style>
  <w:style w:type="paragraph" w:styleId="BalloonText">
    <w:name w:val="Balloon Text"/>
    <w:basedOn w:val="Domylnie"/>
    <w:pPr/>
    <w:rPr>
      <w:rFonts w:ascii="Segoe UI" w:hAnsi="Segoe UI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2726</TotalTime>
  <Application>LibreOffice/4.3.0.4$Windows_x86 LibreOffice_project/62ad5818884a2fc2e5780dd45466868d41009ec0</Application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2014-07-07T17:57:00Z</dcterms:created>
  <dc:creator>Ewa Kłusek</dc:creator>
  <dc:language>pl-PL</dc:language>
  <cp:lastPrinted>2015-10-15T12:04:16Z</cp:lastPrinted>
  <dcterms:modified xsi:type="dcterms:W3CDTF">2015-10-15T12:08:14Z</dcterms:modified>
  <cp:revision>17</cp:revision>
</cp:coreProperties>
</file>